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8D" w:rsidRPr="0042391A" w:rsidRDefault="0073028D" w:rsidP="0073028D">
      <w:pPr>
        <w:pStyle w:val="a9"/>
        <w:ind w:left="4956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            </w:t>
      </w:r>
      <w:r w:rsidRPr="0042391A">
        <w:rPr>
          <w:rStyle w:val="rvts15"/>
          <w:rFonts w:eastAsiaTheme="majorEastAsia"/>
          <w:szCs w:val="24"/>
          <w:lang w:val="uk-UA"/>
        </w:rPr>
        <w:t>Додаток 1</w:t>
      </w:r>
    </w:p>
    <w:p w:rsidR="0073028D" w:rsidRPr="0042391A" w:rsidRDefault="0073028D" w:rsidP="0073028D">
      <w:pPr>
        <w:pStyle w:val="a9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                                                                                                           </w:t>
      </w:r>
      <w:r w:rsidRPr="0042391A">
        <w:rPr>
          <w:rStyle w:val="rvts15"/>
          <w:rFonts w:eastAsiaTheme="majorEastAsia"/>
          <w:szCs w:val="24"/>
          <w:lang w:val="uk-UA"/>
        </w:rPr>
        <w:t>до Порядку</w:t>
      </w:r>
    </w:p>
    <w:p w:rsidR="0073028D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</w:r>
      <w:r>
        <w:rPr>
          <w:rStyle w:val="rvts15"/>
          <w:rFonts w:eastAsiaTheme="majorEastAsia"/>
          <w:szCs w:val="24"/>
          <w:lang w:val="uk-UA"/>
        </w:rPr>
        <w:tab/>
        <w:t xml:space="preserve">                               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ЗАТВЕРДЖЕНО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наказом керівника апарату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Шацького районного суду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Волинської області </w:t>
      </w:r>
    </w:p>
    <w:p w:rsidR="0073028D" w:rsidRDefault="0073028D" w:rsidP="0073028D">
      <w:pPr>
        <w:pStyle w:val="a9"/>
        <w:ind w:left="5664" w:firstLine="708"/>
        <w:rPr>
          <w:rStyle w:val="rvts15"/>
          <w:rFonts w:eastAsiaTheme="majorEastAsia"/>
          <w:szCs w:val="24"/>
          <w:lang w:val="uk-UA"/>
        </w:rPr>
      </w:pPr>
      <w:r>
        <w:rPr>
          <w:rStyle w:val="rvts15"/>
          <w:rFonts w:eastAsiaTheme="majorEastAsia"/>
          <w:szCs w:val="24"/>
          <w:lang w:val="uk-UA"/>
        </w:rPr>
        <w:t xml:space="preserve">    від 17.05.2018 №</w:t>
      </w:r>
      <w:r w:rsidR="0077586F">
        <w:rPr>
          <w:rStyle w:val="rvts15"/>
          <w:rFonts w:eastAsiaTheme="majorEastAsia"/>
          <w:szCs w:val="24"/>
          <w:lang w:val="uk-UA"/>
        </w:rPr>
        <w:t>3</w:t>
      </w:r>
      <w:r>
        <w:rPr>
          <w:rStyle w:val="rvts15"/>
          <w:rFonts w:eastAsiaTheme="majorEastAsia"/>
          <w:szCs w:val="24"/>
          <w:lang w:val="uk-UA"/>
        </w:rPr>
        <w:t xml:space="preserve">/02-06.2 </w:t>
      </w:r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</w:rPr>
      </w:pPr>
      <w:r w:rsidRPr="0042391A">
        <w:rPr>
          <w:rStyle w:val="rvts15"/>
          <w:rFonts w:eastAsiaTheme="majorEastAsia"/>
          <w:szCs w:val="24"/>
        </w:rPr>
        <w:t xml:space="preserve">УМОВИ </w:t>
      </w:r>
      <w:r w:rsidRPr="0042391A">
        <w:rPr>
          <w:szCs w:val="24"/>
        </w:rPr>
        <w:br/>
      </w:r>
      <w:proofErr w:type="spellStart"/>
      <w:r w:rsidRPr="0042391A">
        <w:rPr>
          <w:rStyle w:val="rvts15"/>
          <w:rFonts w:eastAsiaTheme="majorEastAsia"/>
          <w:szCs w:val="24"/>
        </w:rPr>
        <w:t>проведення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конкурсу</w:t>
      </w:r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  <w:r w:rsidRPr="0042391A">
        <w:rPr>
          <w:rStyle w:val="rvts15"/>
          <w:rFonts w:eastAsiaTheme="majorEastAsia"/>
          <w:szCs w:val="24"/>
        </w:rPr>
        <w:t xml:space="preserve">на </w:t>
      </w:r>
      <w:proofErr w:type="spellStart"/>
      <w:r w:rsidRPr="0042391A">
        <w:rPr>
          <w:rStyle w:val="rvts15"/>
          <w:rFonts w:eastAsiaTheme="majorEastAsia"/>
          <w:szCs w:val="24"/>
        </w:rPr>
        <w:t>зайняття</w:t>
      </w:r>
      <w:proofErr w:type="spellEnd"/>
      <w:r>
        <w:rPr>
          <w:rStyle w:val="rvts15"/>
          <w:rFonts w:eastAsiaTheme="majorEastAsia"/>
          <w:szCs w:val="24"/>
          <w:lang w:val="uk-UA"/>
        </w:rPr>
        <w:t xml:space="preserve"> вакантної </w:t>
      </w:r>
      <w:r w:rsidRPr="0042391A">
        <w:rPr>
          <w:rStyle w:val="rvts15"/>
          <w:rFonts w:eastAsiaTheme="majorEastAsia"/>
          <w:szCs w:val="24"/>
        </w:rPr>
        <w:t xml:space="preserve"> посади </w:t>
      </w:r>
      <w:proofErr w:type="spellStart"/>
      <w:r w:rsidRPr="0042391A">
        <w:rPr>
          <w:rStyle w:val="rvts15"/>
          <w:rFonts w:eastAsiaTheme="majorEastAsia"/>
          <w:szCs w:val="24"/>
        </w:rPr>
        <w:t>державної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Pr="0042391A">
        <w:rPr>
          <w:rStyle w:val="rvts15"/>
          <w:rFonts w:eastAsiaTheme="majorEastAsia"/>
          <w:szCs w:val="24"/>
        </w:rPr>
        <w:t>служби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Pr="0042391A">
        <w:rPr>
          <w:rStyle w:val="rvts15"/>
          <w:rFonts w:eastAsiaTheme="majorEastAsia"/>
          <w:szCs w:val="24"/>
        </w:rPr>
        <w:t>категорії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"В"</w:t>
      </w:r>
      <w:r w:rsidRPr="0042391A">
        <w:rPr>
          <w:rStyle w:val="rvts15"/>
          <w:rFonts w:eastAsiaTheme="majorEastAsia"/>
          <w:szCs w:val="24"/>
          <w:lang w:val="uk-UA"/>
        </w:rPr>
        <w:t xml:space="preserve"> -</w:t>
      </w:r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</w:rPr>
      </w:pPr>
      <w:r>
        <w:rPr>
          <w:rStyle w:val="rvts15"/>
          <w:rFonts w:eastAsiaTheme="majorEastAsia"/>
          <w:szCs w:val="24"/>
          <w:lang w:val="uk-UA"/>
        </w:rPr>
        <w:t>старшого секретаря Шацького</w:t>
      </w:r>
      <w:r w:rsidRPr="0042391A">
        <w:rPr>
          <w:rStyle w:val="rvts15"/>
          <w:rFonts w:eastAsiaTheme="majorEastAsia"/>
          <w:szCs w:val="24"/>
        </w:rPr>
        <w:t xml:space="preserve"> районного суду </w:t>
      </w:r>
      <w:proofErr w:type="spellStart"/>
      <w:r w:rsidRPr="0042391A">
        <w:rPr>
          <w:rStyle w:val="rvts15"/>
          <w:rFonts w:eastAsiaTheme="majorEastAsia"/>
          <w:szCs w:val="24"/>
        </w:rPr>
        <w:t>Волинської</w:t>
      </w:r>
      <w:proofErr w:type="spellEnd"/>
      <w:r w:rsidRPr="0042391A">
        <w:rPr>
          <w:rStyle w:val="rvts15"/>
          <w:rFonts w:eastAsiaTheme="majorEastAsia"/>
          <w:szCs w:val="24"/>
        </w:rPr>
        <w:t xml:space="preserve"> </w:t>
      </w:r>
      <w:proofErr w:type="spellStart"/>
      <w:r w:rsidRPr="0042391A">
        <w:rPr>
          <w:rStyle w:val="rvts15"/>
          <w:rFonts w:eastAsiaTheme="majorEastAsia"/>
          <w:szCs w:val="24"/>
        </w:rPr>
        <w:t>області</w:t>
      </w:r>
      <w:proofErr w:type="spellEnd"/>
    </w:p>
    <w:p w:rsidR="0073028D" w:rsidRPr="0042391A" w:rsidRDefault="0073028D" w:rsidP="0073028D">
      <w:pPr>
        <w:pStyle w:val="a9"/>
        <w:jc w:val="center"/>
        <w:rPr>
          <w:rStyle w:val="rvts15"/>
          <w:rFonts w:eastAsiaTheme="majorEastAsia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9"/>
        <w:gridCol w:w="2905"/>
        <w:gridCol w:w="151"/>
        <w:gridCol w:w="5759"/>
      </w:tblGrid>
      <w:tr w:rsidR="0073028D" w:rsidRPr="001C74E4" w:rsidTr="00A215C1">
        <w:tc>
          <w:tcPr>
            <w:tcW w:w="9384" w:type="dxa"/>
            <w:gridSpan w:val="4"/>
            <w:vAlign w:val="center"/>
          </w:tcPr>
          <w:p w:rsidR="0073028D" w:rsidRDefault="0073028D" w:rsidP="00A215C1">
            <w:pPr>
              <w:pStyle w:val="rvps12"/>
              <w:jc w:val="center"/>
            </w:pPr>
            <w:bookmarkStart w:id="0" w:name="n196"/>
            <w:bookmarkEnd w:id="0"/>
            <w:r>
              <w:t>Загальні умови</w:t>
            </w:r>
          </w:p>
        </w:tc>
      </w:tr>
      <w:tr w:rsidR="0073028D" w:rsidRPr="009709DF" w:rsidTr="00A215C1">
        <w:trPr>
          <w:trHeight w:val="259"/>
        </w:trPr>
        <w:tc>
          <w:tcPr>
            <w:tcW w:w="3474" w:type="dxa"/>
            <w:gridSpan w:val="2"/>
            <w:vAlign w:val="center"/>
          </w:tcPr>
          <w:p w:rsidR="0073028D" w:rsidRPr="001360E0" w:rsidRDefault="0073028D" w:rsidP="00A215C1">
            <w:pPr>
              <w:pStyle w:val="rvps14"/>
            </w:pPr>
            <w:r w:rsidRPr="001360E0">
              <w:t>Посадові обов’язки</w:t>
            </w:r>
          </w:p>
        </w:tc>
        <w:tc>
          <w:tcPr>
            <w:tcW w:w="5910" w:type="dxa"/>
            <w:gridSpan w:val="2"/>
          </w:tcPr>
          <w:p w:rsidR="0073028D" w:rsidRPr="001360E0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1. Організовує та забезпечує належну роботу канцелярії суду;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-1"/>
                <w:lang w:val="uk-UA"/>
              </w:rPr>
            </w:pPr>
            <w:r w:rsidRPr="001360E0">
              <w:rPr>
                <w:lang w:val="uk-UA"/>
              </w:rPr>
              <w:t xml:space="preserve">2.  </w:t>
            </w:r>
            <w:r w:rsidRPr="001360E0">
              <w:rPr>
                <w:color w:val="000000"/>
                <w:spacing w:val="3"/>
                <w:lang w:val="uk-UA"/>
              </w:rPr>
              <w:t xml:space="preserve">Веде первинний облік судових справ і матеріалів, розгляд яких </w:t>
            </w:r>
            <w:r w:rsidRPr="001360E0">
              <w:rPr>
                <w:color w:val="000000"/>
                <w:spacing w:val="-1"/>
                <w:lang w:val="uk-UA"/>
              </w:rPr>
              <w:t>передбачено процесуальним законодавством;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1"/>
                <w:lang w:val="uk-UA"/>
              </w:rPr>
              <w:t xml:space="preserve">3. </w:t>
            </w:r>
            <w:r w:rsidRPr="001360E0">
              <w:rPr>
                <w:color w:val="000000"/>
                <w:lang w:val="uk-UA"/>
              </w:rPr>
              <w:t>Забезпечує зберігання судових справ та інших матеріалів;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lang w:val="uk-UA"/>
              </w:rPr>
              <w:t xml:space="preserve">4. </w:t>
            </w:r>
            <w:r w:rsidRPr="001360E0">
              <w:rPr>
                <w:color w:val="000000"/>
                <w:spacing w:val="7"/>
                <w:lang w:val="uk-UA"/>
              </w:rPr>
              <w:t xml:space="preserve">Проводить роботу з оформлення звернення судових рішень до </w:t>
            </w:r>
            <w:r w:rsidRPr="001360E0">
              <w:rPr>
                <w:color w:val="000000"/>
                <w:spacing w:val="4"/>
                <w:lang w:val="uk-UA"/>
              </w:rPr>
              <w:t xml:space="preserve">виконання, контролює одержання повідомлень про їх виконання та </w:t>
            </w:r>
            <w:r w:rsidRPr="001360E0">
              <w:rPr>
                <w:color w:val="000000"/>
                <w:spacing w:val="2"/>
                <w:lang w:val="uk-UA"/>
              </w:rPr>
              <w:t>забезпечує своєчасне приєднання до судових справ</w:t>
            </w:r>
            <w:r>
              <w:rPr>
                <w:color w:val="000000"/>
                <w:spacing w:val="2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5. </w:t>
            </w:r>
            <w:r w:rsidRPr="001360E0">
              <w:rPr>
                <w:color w:val="000000"/>
                <w:spacing w:val="2"/>
                <w:lang w:val="uk-UA"/>
              </w:rPr>
              <w:t>Організовує роботу з обліку та зберігання судових справ, речових доказів, документів первинного обліку;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6. </w:t>
            </w:r>
            <w:r w:rsidRPr="001360E0">
              <w:rPr>
                <w:color w:val="000000"/>
                <w:spacing w:val="2"/>
                <w:lang w:val="uk-UA"/>
              </w:rPr>
              <w:t xml:space="preserve">Здійснює підготовку судових справ із скаргами, поданнями для </w:t>
            </w:r>
            <w:r w:rsidRPr="001360E0">
              <w:rPr>
                <w:color w:val="000000"/>
                <w:lang w:val="uk-UA"/>
              </w:rPr>
              <w:t>надіслання до судів вищих інстанцій</w:t>
            </w:r>
            <w:r>
              <w:rPr>
                <w:color w:val="000000"/>
                <w:lang w:val="uk-UA"/>
              </w:rPr>
              <w:t>;</w:t>
            </w:r>
            <w:r w:rsidRPr="001360E0">
              <w:rPr>
                <w:color w:val="000000"/>
                <w:spacing w:val="2"/>
                <w:lang w:val="uk-UA"/>
              </w:rPr>
              <w:t xml:space="preserve"> </w:t>
            </w:r>
            <w:r>
              <w:rPr>
                <w:color w:val="000000"/>
                <w:spacing w:val="2"/>
                <w:lang w:val="uk-UA"/>
              </w:rPr>
              <w:t xml:space="preserve">   7. </w:t>
            </w:r>
            <w:r w:rsidRPr="001360E0">
              <w:rPr>
                <w:color w:val="000000"/>
                <w:spacing w:val="2"/>
                <w:lang w:val="uk-UA"/>
              </w:rPr>
              <w:t>Здійснює контроль за своєчасним та якісним зверненням судових рішень;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8. </w:t>
            </w:r>
            <w:r w:rsidRPr="001360E0">
              <w:rPr>
                <w:color w:val="000000"/>
                <w:spacing w:val="2"/>
                <w:lang w:val="uk-UA"/>
              </w:rPr>
              <w:t>Веде контрольні та зведені контрольні виконавчі провадження</w:t>
            </w:r>
            <w:r>
              <w:rPr>
                <w:color w:val="000000"/>
                <w:spacing w:val="2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9. </w:t>
            </w:r>
            <w:r w:rsidRPr="001360E0">
              <w:rPr>
                <w:color w:val="000000"/>
                <w:spacing w:val="2"/>
                <w:lang w:val="uk-UA"/>
              </w:rPr>
              <w:t>Здійснює облік виконавчих документів, які передаються для виконання до державної виконавчої служби</w:t>
            </w:r>
            <w:r>
              <w:rPr>
                <w:color w:val="000000"/>
                <w:spacing w:val="2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10. </w:t>
            </w:r>
            <w:r w:rsidRPr="001360E0">
              <w:rPr>
                <w:color w:val="000000"/>
                <w:spacing w:val="2"/>
                <w:lang w:val="uk-UA"/>
              </w:rPr>
              <w:t>Контролює відкликання виконавчих документів у разі припинення виконання;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2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>11.</w:t>
            </w:r>
            <w:r w:rsidRPr="001360E0">
              <w:rPr>
                <w:color w:val="000000"/>
                <w:spacing w:val="2"/>
                <w:lang w:val="uk-UA"/>
              </w:rPr>
              <w:t>Забезпечує зберігання та використання штампів і печаток суду, товарно-матеріальних цінностей та документації суду</w:t>
            </w:r>
            <w:r>
              <w:rPr>
                <w:color w:val="000000"/>
                <w:spacing w:val="2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2"/>
                <w:lang w:val="uk-UA"/>
              </w:rPr>
              <w:t xml:space="preserve">12. </w:t>
            </w:r>
            <w:r w:rsidRPr="001360E0">
              <w:rPr>
                <w:color w:val="000000"/>
                <w:spacing w:val="2"/>
                <w:lang w:val="uk-UA"/>
              </w:rPr>
              <w:t xml:space="preserve">Здійснює підготовку судових справ із скаргами, поданнями для </w:t>
            </w:r>
            <w:r w:rsidRPr="001360E0">
              <w:rPr>
                <w:color w:val="000000"/>
                <w:lang w:val="uk-UA"/>
              </w:rPr>
              <w:t>надіслання до судів вищих інстанцій</w:t>
            </w:r>
            <w:r>
              <w:rPr>
                <w:color w:val="000000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13. </w:t>
            </w:r>
            <w:r w:rsidRPr="001360E0">
              <w:rPr>
                <w:color w:val="000000"/>
                <w:lang w:val="uk-UA"/>
              </w:rPr>
              <w:t>Здійснює контроль за своєчасною здачею судових справ до канцелярії суду, проводить аналітичну роботу щодо строків здачі справ до канцелярії суду, готує відповідні пропозиції з удосконалення цієї роботи, систематично доповідає голові суду та керівникові апарату про випадки порушення термінів здачі судових справ до канцелярії суду, про що складає відповідні акти;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lang w:val="uk-UA"/>
              </w:rPr>
              <w:t xml:space="preserve">14. </w:t>
            </w:r>
            <w:r w:rsidRPr="00BC4554">
              <w:rPr>
                <w:color w:val="000000"/>
                <w:spacing w:val="-1"/>
                <w:lang w:val="uk-UA"/>
              </w:rPr>
              <w:t xml:space="preserve">Проводить перевірку відповідності документів у судових справах </w:t>
            </w:r>
            <w:r w:rsidRPr="00BC4554">
              <w:rPr>
                <w:color w:val="000000"/>
                <w:spacing w:val="-3"/>
                <w:lang w:val="uk-UA"/>
              </w:rPr>
              <w:t>опису справи</w:t>
            </w:r>
            <w:r>
              <w:rPr>
                <w:color w:val="000000"/>
                <w:spacing w:val="-3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15. </w:t>
            </w:r>
            <w:r w:rsidRPr="00BC4554">
              <w:rPr>
                <w:color w:val="000000"/>
                <w:lang w:val="uk-UA"/>
              </w:rPr>
              <w:t xml:space="preserve">Збирає пропозиції щодо складання номенклатури справ суду, узагальнює їх, за погодженням із керівником апарату формує номенклатуру справ суду та </w:t>
            </w:r>
            <w:r w:rsidRPr="00BC4554">
              <w:rPr>
                <w:color w:val="000000"/>
                <w:lang w:val="uk-UA"/>
              </w:rPr>
              <w:lastRenderedPageBreak/>
              <w:t>після погодження з відповідними архівними установами подає на затвердження голові суду. Здійснює ведення номенклатурних справ суду</w:t>
            </w:r>
            <w:r>
              <w:rPr>
                <w:color w:val="000000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16. </w:t>
            </w:r>
            <w:r w:rsidRPr="00BC4554">
              <w:rPr>
                <w:color w:val="000000"/>
                <w:spacing w:val="1"/>
                <w:lang w:val="uk-UA"/>
              </w:rPr>
              <w:t xml:space="preserve">Здійснює підготовку та передачу до архіву суду судових справ за </w:t>
            </w:r>
            <w:r w:rsidRPr="00BC4554">
              <w:rPr>
                <w:color w:val="000000"/>
                <w:spacing w:val="9"/>
                <w:lang w:val="uk-UA"/>
              </w:rPr>
              <w:t xml:space="preserve">минулі роки, провадження у яких закінчено, а також іншу документацію </w:t>
            </w:r>
            <w:r w:rsidRPr="00BC4554">
              <w:rPr>
                <w:color w:val="000000"/>
                <w:lang w:val="uk-UA"/>
              </w:rPr>
              <w:t>канцелярії суду за минулі роки</w:t>
            </w:r>
            <w:r>
              <w:rPr>
                <w:color w:val="000000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17. </w:t>
            </w:r>
            <w:r w:rsidRPr="00BC4554">
              <w:rPr>
                <w:color w:val="000000"/>
                <w:lang w:val="uk-UA"/>
              </w:rPr>
              <w:t>Організовує та забезпечує належне здійснення прийому громадян з питань видачі копій судових документів та відповідних довідок працівниками канцелярії суду</w:t>
            </w:r>
            <w:r>
              <w:rPr>
                <w:color w:val="000000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18. </w:t>
            </w:r>
            <w:r w:rsidRPr="00BC4554">
              <w:rPr>
                <w:color w:val="000000"/>
                <w:lang w:val="uk-UA"/>
              </w:rPr>
              <w:t>Уносить пропозиції до плану роботи суду з питань організації діловодства, судової статистики, контролює виконання відповідних розділів плану роботи суду</w:t>
            </w:r>
            <w:r>
              <w:rPr>
                <w:color w:val="000000"/>
                <w:lang w:val="uk-UA"/>
              </w:rPr>
              <w:t>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19. </w:t>
            </w:r>
            <w:r w:rsidRPr="00BC4554">
              <w:rPr>
                <w:color w:val="000000"/>
                <w:lang w:val="uk-UA"/>
              </w:rPr>
              <w:t>Бере участь в аналітичній роботі з питань</w:t>
            </w:r>
            <w:r>
              <w:rPr>
                <w:color w:val="000000"/>
                <w:lang w:val="uk-UA"/>
              </w:rPr>
              <w:t xml:space="preserve"> організації діловодства в суді;</w:t>
            </w:r>
          </w:p>
          <w:p w:rsidR="0073028D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20. </w:t>
            </w:r>
            <w:r w:rsidRPr="00BC4554">
              <w:rPr>
                <w:color w:val="000000"/>
                <w:lang w:val="uk-UA"/>
              </w:rPr>
              <w:t>Веде облік та контроль за виконанням судових доручень, що надійшли з інших су</w:t>
            </w:r>
            <w:r>
              <w:rPr>
                <w:color w:val="000000"/>
                <w:lang w:val="uk-UA"/>
              </w:rPr>
              <w:t>дів України та іноземних держав;</w:t>
            </w:r>
          </w:p>
          <w:p w:rsidR="0073028D" w:rsidRPr="00BC4554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21. </w:t>
            </w:r>
            <w:r w:rsidRPr="00BC4554">
              <w:rPr>
                <w:color w:val="000000"/>
                <w:lang w:val="uk-UA"/>
              </w:rPr>
              <w:t>Контролює ведення обліково-статистичних карток в електронному вигляді, систематично доповідає голові суду та керівнику апарату суду про випадки не внесення відомостей в ОСК, або не вірне ( не вчасне) внесення відомостей в ОСК , про що складає відповідні акти.</w:t>
            </w:r>
          </w:p>
          <w:p w:rsidR="0073028D" w:rsidRPr="001360E0" w:rsidRDefault="0073028D" w:rsidP="00A215C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1360E0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2</w:t>
            </w:r>
            <w:r w:rsidRPr="001360E0">
              <w:rPr>
                <w:color w:val="000000"/>
                <w:lang w:val="uk-UA"/>
              </w:rPr>
              <w:t>. Виконує обов’язки архіваріуса суду: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забезпечує зберігання документів, які надійшли до архіву суду;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приймає на зберігання від відповідних працівників апарату суду документи, що закінчені діловодством;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бере участь у розробленні номенклатури справ, перевіряє правильність формування та оформлення справ під час їх передавання до архіву;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систематизує і розміщує справи, веде їх облік;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готує зведені описи справ постійного і тимчасового термінів зберігання, акти для передавання справ на державне зберігання, на списання та знищення, а також бере участь у роботі з експертизи цінності архівних документів;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веде прийом громадян з питань видачі копій судових рішень, інших документів, які зберігаються в архіві суду, та судових справ для ознайомлення учасникам судового розгляду відповідно до встановленого порядку;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під час видачі копій судових рішень готує відповідні супровідні документи;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приєднує до судових справ, які зберігаються в архіві суду, документи, що підтверджують виконання судових рішень;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готує необхідні довідки на основі відомостей, які є в документах архіву, веде їх облік;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готує необхідні дані для складання звітності щодо роботи архіву;</w:t>
            </w:r>
          </w:p>
          <w:p w:rsidR="0073028D" w:rsidRPr="001360E0" w:rsidRDefault="0073028D" w:rsidP="00A215C1">
            <w:pPr>
              <w:jc w:val="both"/>
              <w:rPr>
                <w:lang w:val="uk-UA"/>
              </w:rPr>
            </w:pPr>
            <w:r w:rsidRPr="001360E0">
              <w:rPr>
                <w:lang w:val="uk-UA"/>
              </w:rPr>
              <w:t>- веде протоколи засідання експертної комісії Шацького районного суду;</w:t>
            </w:r>
          </w:p>
          <w:p w:rsidR="0073028D" w:rsidRPr="001360E0" w:rsidRDefault="0073028D" w:rsidP="00A215C1">
            <w:pPr>
              <w:jc w:val="both"/>
            </w:pPr>
            <w:r w:rsidRPr="001360E0">
              <w:rPr>
                <w:lang w:val="uk-UA"/>
              </w:rPr>
              <w:t>- контролює додержання  правил  протипожежної безпеки в приміщеннях архіву.</w:t>
            </w:r>
          </w:p>
          <w:p w:rsidR="0073028D" w:rsidRPr="001360E0" w:rsidRDefault="0073028D" w:rsidP="00A215C1">
            <w:pPr>
              <w:shd w:val="clear" w:color="auto" w:fill="FFFFFF"/>
              <w:tabs>
                <w:tab w:val="left" w:pos="459"/>
                <w:tab w:val="left" w:pos="1411"/>
              </w:tabs>
              <w:jc w:val="both"/>
              <w:rPr>
                <w:color w:val="000000"/>
                <w:lang w:val="uk-UA"/>
              </w:rPr>
            </w:pPr>
            <w:r w:rsidRPr="001360E0">
              <w:rPr>
                <w:color w:val="000000"/>
                <w:spacing w:val="-7"/>
                <w:lang w:val="uk-UA"/>
              </w:rPr>
              <w:t>2</w:t>
            </w:r>
            <w:r>
              <w:rPr>
                <w:color w:val="000000"/>
                <w:spacing w:val="-7"/>
                <w:lang w:val="uk-UA"/>
              </w:rPr>
              <w:t>3</w:t>
            </w:r>
            <w:r w:rsidRPr="001360E0">
              <w:rPr>
                <w:color w:val="000000"/>
                <w:spacing w:val="-7"/>
                <w:lang w:val="uk-UA"/>
              </w:rPr>
              <w:t>.</w:t>
            </w:r>
            <w:r w:rsidRPr="001360E0">
              <w:rPr>
                <w:color w:val="000000"/>
                <w:lang w:val="uk-UA"/>
              </w:rPr>
              <w:t xml:space="preserve"> Виконує доручення голови суду та керівника апарату </w:t>
            </w:r>
            <w:r w:rsidRPr="001360E0">
              <w:rPr>
                <w:color w:val="000000"/>
                <w:lang w:val="uk-UA"/>
              </w:rPr>
              <w:lastRenderedPageBreak/>
              <w:t>суду щодо організації роботи кан</w:t>
            </w:r>
            <w:r>
              <w:rPr>
                <w:color w:val="000000"/>
                <w:lang w:val="uk-UA"/>
              </w:rPr>
              <w:t>целярії суду та діяльності суду;</w:t>
            </w:r>
          </w:p>
          <w:p w:rsidR="0073028D" w:rsidRPr="001360E0" w:rsidRDefault="0073028D" w:rsidP="00A215C1">
            <w:pPr>
              <w:shd w:val="clear" w:color="auto" w:fill="FFFFFF"/>
              <w:tabs>
                <w:tab w:val="left" w:pos="459"/>
                <w:tab w:val="left" w:pos="1411"/>
              </w:tabs>
              <w:jc w:val="both"/>
              <w:rPr>
                <w:color w:val="000000"/>
                <w:spacing w:val="-7"/>
                <w:lang w:val="uk-UA"/>
              </w:rPr>
            </w:pPr>
            <w:r w:rsidRPr="001360E0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>4</w:t>
            </w:r>
            <w:r w:rsidRPr="001360E0">
              <w:rPr>
                <w:color w:val="000000"/>
                <w:lang w:val="uk-UA"/>
              </w:rPr>
              <w:t>. Проставляє ДНЗ не пізніше наступного дня на рішеннях суду, ухвалах, постановах, вироках</w:t>
            </w:r>
            <w:r>
              <w:rPr>
                <w:color w:val="000000"/>
                <w:lang w:val="uk-UA"/>
              </w:rPr>
              <w:t>;</w:t>
            </w:r>
          </w:p>
          <w:p w:rsidR="0073028D" w:rsidRPr="001360E0" w:rsidRDefault="0073028D" w:rsidP="00A215C1">
            <w:pPr>
              <w:pStyle w:val="aa"/>
              <w:shd w:val="clear" w:color="auto" w:fill="FFFFFF"/>
              <w:tabs>
                <w:tab w:val="left" w:pos="459"/>
                <w:tab w:val="left" w:pos="1411"/>
              </w:tabs>
              <w:ind w:left="34"/>
              <w:jc w:val="both"/>
              <w:rPr>
                <w:color w:val="000000"/>
                <w:spacing w:val="-1"/>
                <w:lang w:val="uk-UA"/>
              </w:rPr>
            </w:pPr>
            <w:r w:rsidRPr="001360E0">
              <w:rPr>
                <w:color w:val="000000"/>
                <w:spacing w:val="-1"/>
                <w:lang w:val="uk-UA"/>
              </w:rPr>
              <w:t>2</w:t>
            </w:r>
            <w:r>
              <w:rPr>
                <w:color w:val="000000"/>
                <w:spacing w:val="-1"/>
                <w:lang w:val="uk-UA"/>
              </w:rPr>
              <w:t>5</w:t>
            </w:r>
            <w:r w:rsidRPr="001360E0">
              <w:rPr>
                <w:color w:val="000000"/>
                <w:spacing w:val="-1"/>
                <w:lang w:val="uk-UA"/>
              </w:rPr>
              <w:t>.</w:t>
            </w:r>
            <w:r w:rsidRPr="001360E0">
              <w:rPr>
                <w:lang w:val="uk-UA" w:eastAsia="uk-UA"/>
              </w:rPr>
              <w:t xml:space="preserve"> 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старшого секретаря суду</w:t>
            </w:r>
            <w:r>
              <w:rPr>
                <w:lang w:val="uk-UA" w:eastAsia="uk-UA"/>
              </w:rPr>
              <w:t>;</w:t>
            </w:r>
          </w:p>
          <w:p w:rsidR="0073028D" w:rsidRPr="001360E0" w:rsidRDefault="0073028D" w:rsidP="00A215C1">
            <w:pPr>
              <w:pStyle w:val="af4"/>
              <w:tabs>
                <w:tab w:val="left" w:pos="-72"/>
                <w:tab w:val="left" w:pos="0"/>
                <w:tab w:val="left" w:pos="70"/>
                <w:tab w:val="left" w:pos="354"/>
                <w:tab w:val="left" w:pos="637"/>
              </w:tabs>
              <w:spacing w:before="0" w:beforeAutospacing="0" w:after="0" w:afterAutospacing="0"/>
              <w:jc w:val="both"/>
              <w:rPr>
                <w:spacing w:val="-2"/>
              </w:rPr>
            </w:pPr>
            <w:r w:rsidRPr="001360E0">
              <w:rPr>
                <w:spacing w:val="1"/>
              </w:rPr>
              <w:t>2</w:t>
            </w:r>
            <w:r>
              <w:rPr>
                <w:spacing w:val="1"/>
              </w:rPr>
              <w:t>6</w:t>
            </w:r>
            <w:r w:rsidRPr="001360E0">
              <w:rPr>
                <w:spacing w:val="1"/>
              </w:rPr>
              <w:t>.</w:t>
            </w:r>
            <w:r w:rsidRPr="001360E0">
              <w:rPr>
                <w:spacing w:val="-2"/>
              </w:rPr>
              <w:t>Виконує Правила внутрішнього службового, трудового розпорядку суду та Правила поведінки працівника суду.</w:t>
            </w:r>
          </w:p>
          <w:p w:rsidR="0073028D" w:rsidRPr="001360E0" w:rsidRDefault="0073028D" w:rsidP="00A215C1">
            <w:pPr>
              <w:pStyle w:val="aa"/>
              <w:tabs>
                <w:tab w:val="left" w:pos="467"/>
                <w:tab w:val="left" w:pos="993"/>
                <w:tab w:val="left" w:pos="1134"/>
                <w:tab w:val="left" w:pos="1418"/>
              </w:tabs>
              <w:ind w:left="0"/>
            </w:pPr>
          </w:p>
        </w:tc>
      </w:tr>
      <w:tr w:rsidR="0073028D" w:rsidRPr="00DA4DA2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lastRenderedPageBreak/>
              <w:t>Умови оплати праці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 xml:space="preserve">- Посадовий оклад – 3500 грн.; 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>- Надбавка за вислугу років;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>- Надбавка за ранг державного службовця;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</w:pPr>
            <w:r>
              <w:t>- Премія (у разі встановлення).</w:t>
            </w:r>
          </w:p>
        </w:tc>
      </w:tr>
      <w:tr w:rsid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5910" w:type="dxa"/>
            <w:gridSpan w:val="2"/>
          </w:tcPr>
          <w:p w:rsidR="0073028D" w:rsidRPr="00DA4DA2" w:rsidRDefault="0073028D" w:rsidP="00A215C1">
            <w:pPr>
              <w:pStyle w:val="rvps14"/>
              <w:spacing w:before="0" w:beforeAutospacing="0" w:after="0" w:afterAutospacing="0"/>
            </w:pPr>
            <w:proofErr w:type="spellStart"/>
            <w:r>
              <w:t>Строково</w:t>
            </w:r>
            <w:proofErr w:type="spellEnd"/>
            <w:r>
              <w:t xml:space="preserve">, на період перебування основного працівника у відпустці для догляду за дитиною до досягнення нею трирічного віку до 19.12.2020 року  </w:t>
            </w:r>
          </w:p>
        </w:tc>
      </w:tr>
      <w:tr w:rsid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Перелік документів, необхідних для участі в конкурсі, та строк їх подання</w:t>
            </w:r>
          </w:p>
        </w:tc>
        <w:tc>
          <w:tcPr>
            <w:tcW w:w="5910" w:type="dxa"/>
            <w:gridSpan w:val="2"/>
          </w:tcPr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30455E">
              <w:t>1</w:t>
            </w:r>
            <w:r w:rsidRPr="00726516">
              <w:rPr>
                <w:rFonts w:eastAsia="Calibri"/>
                <w:lang w:val="uk-UA"/>
              </w:rPr>
              <w:t>) копія паспорта громадянина України;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2) письмова заява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726516">
                <w:rPr>
                  <w:rFonts w:eastAsia="Calibri"/>
                  <w:lang w:val="uk-UA"/>
                </w:rPr>
                <w:t>частиною третьою</w:t>
              </w:r>
            </w:hyperlink>
            <w:r w:rsidRPr="00726516">
              <w:rPr>
                <w:rFonts w:eastAsia="Calibri"/>
                <w:lang w:val="uk-UA"/>
              </w:rPr>
              <w:t xml:space="preserve"> або </w:t>
            </w:r>
            <w:hyperlink r:id="rId6" w:anchor="n14" w:tgtFrame="_blank" w:history="1">
              <w:r w:rsidRPr="00726516">
                <w:rPr>
                  <w:rFonts w:eastAsia="Calibri"/>
                  <w:lang w:val="uk-UA"/>
                </w:rPr>
                <w:t>четвертою</w:t>
              </w:r>
            </w:hyperlink>
            <w:r w:rsidRPr="00726516">
              <w:rPr>
                <w:rFonts w:eastAsia="Calibri"/>
                <w:lang w:val="uk-UA"/>
              </w:rPr>
              <w:t xml:space="preserve"> статті 1 Закону України "Про очищення влади",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4) копія (копії) документа (документів) про освіту;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5) посвідчення атестації щодо вільного володіння державною мовою;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>6) заповнена особова картка встановленого зразка;</w:t>
            </w:r>
          </w:p>
          <w:p w:rsidR="0073028D" w:rsidRPr="00726516" w:rsidRDefault="0073028D" w:rsidP="00A215C1">
            <w:pPr>
              <w:ind w:firstLine="212"/>
              <w:jc w:val="both"/>
              <w:rPr>
                <w:rFonts w:eastAsia="Calibri"/>
                <w:lang w:val="uk-UA"/>
              </w:rPr>
            </w:pPr>
            <w:r w:rsidRPr="00726516">
              <w:rPr>
                <w:rFonts w:eastAsia="Calibri"/>
                <w:lang w:val="uk-UA"/>
              </w:rPr>
              <w:t xml:space="preserve">7) </w:t>
            </w:r>
            <w:r w:rsidRPr="00682393">
              <w:rPr>
                <w:color w:val="000000"/>
                <w:lang w:val="uk-UA" w:eastAsia="uk-UA"/>
              </w:rPr>
              <w:t>декларацію особи, уповноваженої на виконання функцій держави або місцевого самоврядування, за минулий рік.(за 2017 рік, примірник роздрукований із сайту Національного агентства з питань запобігання корупції).</w:t>
            </w:r>
          </w:p>
          <w:p w:rsidR="0073028D" w:rsidRPr="00682393" w:rsidRDefault="0073028D" w:rsidP="00A215C1">
            <w:pPr>
              <w:shd w:val="clear" w:color="auto" w:fill="FFFFFF"/>
              <w:ind w:firstLine="450"/>
              <w:jc w:val="both"/>
              <w:rPr>
                <w:color w:val="000000"/>
                <w:lang w:val="uk-UA" w:eastAsia="uk-UA"/>
              </w:rPr>
            </w:pPr>
            <w:r w:rsidRPr="00682393">
              <w:rPr>
                <w:color w:val="000000"/>
                <w:lang w:val="uk-UA"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3028D" w:rsidRPr="00682393" w:rsidRDefault="0073028D" w:rsidP="00A215C1">
            <w:pPr>
              <w:shd w:val="clear" w:color="auto" w:fill="FFFFFF"/>
              <w:ind w:firstLine="450"/>
              <w:jc w:val="both"/>
              <w:rPr>
                <w:color w:val="000000"/>
                <w:lang w:val="uk-UA" w:eastAsia="uk-UA"/>
              </w:rPr>
            </w:pPr>
            <w:bookmarkStart w:id="1" w:name="n363"/>
            <w:bookmarkEnd w:id="1"/>
            <w:r w:rsidRPr="00682393">
              <w:rPr>
                <w:color w:val="000000"/>
                <w:lang w:val="uk-UA"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73028D" w:rsidRPr="007901CF" w:rsidRDefault="0073028D" w:rsidP="00A215C1">
            <w:pPr>
              <w:pStyle w:val="a9"/>
              <w:rPr>
                <w:szCs w:val="24"/>
                <w:lang w:val="uk-UA"/>
              </w:rPr>
            </w:pPr>
          </w:p>
          <w:p w:rsidR="0073028D" w:rsidRPr="00617F51" w:rsidRDefault="0073028D" w:rsidP="00A215C1">
            <w:pPr>
              <w:pStyle w:val="rvps2"/>
              <w:spacing w:before="0" w:beforeAutospacing="0" w:after="0" w:afterAutospacing="0"/>
              <w:ind w:firstLine="212"/>
              <w:jc w:val="both"/>
            </w:pPr>
            <w:r w:rsidRPr="00617F51">
              <w:t xml:space="preserve">Строк подання документів: до </w:t>
            </w:r>
            <w:r>
              <w:t>04 червня 2018</w:t>
            </w:r>
            <w:r w:rsidRPr="00617F51">
              <w:t xml:space="preserve"> року</w:t>
            </w:r>
            <w:r>
              <w:t xml:space="preserve"> включно.</w:t>
            </w:r>
          </w:p>
          <w:p w:rsidR="0073028D" w:rsidRDefault="0073028D" w:rsidP="00A215C1">
            <w:pPr>
              <w:pStyle w:val="rvps2"/>
              <w:spacing w:before="0" w:beforeAutospacing="0" w:after="0" w:afterAutospacing="0"/>
              <w:ind w:firstLine="212"/>
              <w:jc w:val="both"/>
            </w:pPr>
            <w:r w:rsidRPr="00617F51">
              <w:t>Документи приймаються згідно графіку роботи суду.</w:t>
            </w:r>
          </w:p>
        </w:tc>
      </w:tr>
      <w:tr w:rsidR="0073028D" w:rsidRPr="00A64C6A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>Місце, час та дата початку проведення конкурсу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ind w:firstLine="212"/>
              <w:jc w:val="both"/>
            </w:pPr>
            <w:r>
              <w:t xml:space="preserve">44000, Волинська область, </w:t>
            </w:r>
          </w:p>
          <w:p w:rsidR="0073028D" w:rsidRPr="00A64C6A" w:rsidRDefault="0073028D" w:rsidP="00A215C1">
            <w:pPr>
              <w:pStyle w:val="rvps14"/>
              <w:spacing w:before="0" w:beforeAutospacing="0" w:after="0" w:afterAutospacing="0"/>
              <w:ind w:firstLine="212"/>
              <w:jc w:val="both"/>
              <w:rPr>
                <w:lang w:val="ru-RU"/>
              </w:rPr>
            </w:pPr>
            <w:proofErr w:type="spellStart"/>
            <w:r>
              <w:t>смт</w:t>
            </w:r>
            <w:proofErr w:type="spellEnd"/>
            <w:r>
              <w:t>. Шацьк</w:t>
            </w:r>
            <w:r w:rsidRPr="00A64C6A">
              <w:rPr>
                <w:lang w:val="ru-RU"/>
              </w:rPr>
              <w:t>,</w:t>
            </w:r>
            <w:r>
              <w:t xml:space="preserve"> вул. 50 років Перемоги, 6 б</w:t>
            </w:r>
            <w:r w:rsidRPr="00A64C6A">
              <w:rPr>
                <w:lang w:val="ru-RU"/>
              </w:rPr>
              <w:t xml:space="preserve"> </w:t>
            </w:r>
          </w:p>
          <w:p w:rsidR="0073028D" w:rsidRPr="00352F3F" w:rsidRDefault="0073028D" w:rsidP="00A215C1">
            <w:pPr>
              <w:pStyle w:val="rvps14"/>
              <w:spacing w:before="0" w:beforeAutospacing="0" w:after="0" w:afterAutospacing="0"/>
              <w:ind w:firstLine="212"/>
              <w:jc w:val="both"/>
            </w:pPr>
            <w:r w:rsidRPr="00A64C6A">
              <w:rPr>
                <w:lang w:val="ru-RU"/>
              </w:rPr>
              <w:t xml:space="preserve">10 </w:t>
            </w:r>
            <w:r>
              <w:t>год. 00 хв.,</w:t>
            </w:r>
            <w:r w:rsidRPr="00352F3F">
              <w:t xml:space="preserve"> </w:t>
            </w:r>
            <w:r>
              <w:t>12 червня 2018 року (тестування)</w:t>
            </w:r>
          </w:p>
        </w:tc>
      </w:tr>
      <w:tr w:rsidR="0073028D" w:rsidRPr="0073028D" w:rsidTr="00A215C1">
        <w:tc>
          <w:tcPr>
            <w:tcW w:w="3474" w:type="dxa"/>
            <w:gridSpan w:val="2"/>
            <w:vAlign w:val="center"/>
          </w:tcPr>
          <w:p w:rsidR="0073028D" w:rsidRDefault="0073028D" w:rsidP="00A215C1">
            <w:pPr>
              <w:pStyle w:val="rvps14"/>
            </w:pPr>
            <w:r>
              <w:t xml:space="preserve">Прізвище, ім’я та по батькові, </w:t>
            </w:r>
            <w:r>
              <w:lastRenderedPageBreak/>
              <w:t>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  <w:r>
              <w:lastRenderedPageBreak/>
              <w:t>Устенко Оксана Євгенівна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  <w:r>
              <w:lastRenderedPageBreak/>
              <w:t>тел. (03355) 20 991</w:t>
            </w:r>
          </w:p>
          <w:p w:rsidR="0073028D" w:rsidRPr="007711E8" w:rsidRDefault="0073028D" w:rsidP="00A215C1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 w:rsidRPr="007711E8">
              <w:rPr>
                <w:shd w:val="clear" w:color="auto" w:fill="FFFFFF"/>
              </w:rPr>
              <w:t>email</w:t>
            </w:r>
            <w:proofErr w:type="spellEnd"/>
            <w:r w:rsidRPr="007711E8">
              <w:rPr>
                <w:shd w:val="clear" w:color="auto" w:fill="FFFFFF"/>
              </w:rPr>
              <w:t xml:space="preserve">: </w:t>
            </w:r>
            <w:hyperlink r:id="rId7" w:history="1">
              <w:r w:rsidRPr="007711E8">
                <w:rPr>
                  <w:rStyle w:val="af3"/>
                  <w:rFonts w:eastAsiaTheme="majorEastAsia"/>
                  <w:color w:val="auto"/>
                </w:rPr>
                <w:t>inbox@sha.vl.court.gov.ua</w:t>
              </w:r>
            </w:hyperlink>
          </w:p>
        </w:tc>
      </w:tr>
      <w:tr w:rsidR="0073028D" w:rsidRPr="0073028D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2"/>
              <w:jc w:val="center"/>
            </w:pPr>
          </w:p>
        </w:tc>
      </w:tr>
      <w:tr w:rsidR="0073028D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2"/>
              <w:jc w:val="center"/>
            </w:pPr>
            <w:r>
              <w:t>Кваліфікаційні вимоги</w:t>
            </w:r>
          </w:p>
        </w:tc>
      </w:tr>
      <w:tr w:rsidR="0073028D" w:rsidRPr="0093619E" w:rsidTr="00A215C1">
        <w:trPr>
          <w:trHeight w:val="1194"/>
        </w:trPr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Освіта</w:t>
            </w:r>
          </w:p>
        </w:tc>
        <w:tc>
          <w:tcPr>
            <w:tcW w:w="5910" w:type="dxa"/>
            <w:gridSpan w:val="2"/>
          </w:tcPr>
          <w:p w:rsidR="0073028D" w:rsidRPr="00662BAF" w:rsidRDefault="0073028D" w:rsidP="00A215C1">
            <w:pPr>
              <w:pStyle w:val="rvps14"/>
              <w:jc w:val="both"/>
            </w:pPr>
            <w:r w:rsidRPr="00662BAF">
              <w:t>Вища освіта ступен</w:t>
            </w:r>
            <w:r>
              <w:t>я</w:t>
            </w:r>
            <w:r w:rsidRPr="00662BAF">
              <w:t xml:space="preserve"> не нижче молодшого бакалавра або бакалавра за спеціальністю "Правознавство" або «Правоохоронна діяльність»</w:t>
            </w:r>
          </w:p>
        </w:tc>
      </w:tr>
      <w:tr w:rsidR="0073028D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Досвід роботи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  <w:jc w:val="both"/>
            </w:pPr>
            <w:r>
              <w:rPr>
                <w:rStyle w:val="rvts0"/>
              </w:rPr>
              <w:t>Без вимог до досвіду роботи</w:t>
            </w:r>
          </w:p>
        </w:tc>
      </w:tr>
      <w:tr w:rsidR="0073028D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3</w:t>
            </w:r>
          </w:p>
        </w:tc>
        <w:tc>
          <w:tcPr>
            <w:tcW w:w="2905" w:type="dxa"/>
          </w:tcPr>
          <w:p w:rsidR="0073028D" w:rsidRDefault="0073028D" w:rsidP="00A215C1">
            <w:pPr>
              <w:pStyle w:val="rvps14"/>
            </w:pPr>
            <w:r>
              <w:t>Володіння державною мовою</w:t>
            </w:r>
          </w:p>
        </w:tc>
        <w:tc>
          <w:tcPr>
            <w:tcW w:w="5910" w:type="dxa"/>
            <w:gridSpan w:val="2"/>
          </w:tcPr>
          <w:p w:rsidR="0073028D" w:rsidRDefault="0073028D" w:rsidP="00A215C1">
            <w:pPr>
              <w:pStyle w:val="rvps14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73028D" w:rsidTr="00A215C1">
        <w:tc>
          <w:tcPr>
            <w:tcW w:w="9384" w:type="dxa"/>
            <w:gridSpan w:val="4"/>
            <w:vAlign w:val="center"/>
          </w:tcPr>
          <w:p w:rsidR="0073028D" w:rsidRDefault="0073028D" w:rsidP="00A215C1">
            <w:pPr>
              <w:pStyle w:val="rvps12"/>
              <w:jc w:val="center"/>
            </w:pPr>
            <w:r>
              <w:t xml:space="preserve">Вимоги до компетентності 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Якісне виконання поставлених завдань</w:t>
            </w:r>
          </w:p>
        </w:tc>
        <w:tc>
          <w:tcPr>
            <w:tcW w:w="5759" w:type="dxa"/>
          </w:tcPr>
          <w:p w:rsidR="0073028D" w:rsidRPr="00D04CC5" w:rsidRDefault="0073028D" w:rsidP="0073028D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spacing w:line="265" w:lineRule="atLeast"/>
              <w:ind w:left="0" w:firstLine="204"/>
              <w:jc w:val="both"/>
              <w:rPr>
                <w:lang w:val="uk-UA"/>
              </w:rPr>
            </w:pPr>
            <w:r w:rsidRPr="00D04CC5">
              <w:rPr>
                <w:lang w:val="uk-UA"/>
              </w:rPr>
              <w:t>Вміння працювати з інформацією;</w:t>
            </w:r>
          </w:p>
          <w:p w:rsidR="0073028D" w:rsidRPr="00D04CC5" w:rsidRDefault="0073028D" w:rsidP="0073028D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spacing w:line="265" w:lineRule="atLeast"/>
              <w:ind w:left="0" w:firstLine="204"/>
              <w:jc w:val="both"/>
              <w:rPr>
                <w:lang w:val="uk-UA"/>
              </w:rPr>
            </w:pPr>
            <w:r w:rsidRPr="00D04CC5">
              <w:rPr>
                <w:lang w:val="uk-UA"/>
              </w:rPr>
              <w:t>Вміння вирішувати комплексні завдання;</w:t>
            </w:r>
          </w:p>
          <w:p w:rsidR="0073028D" w:rsidRPr="00761D81" w:rsidRDefault="0073028D" w:rsidP="0073028D">
            <w:pPr>
              <w:pStyle w:val="aa"/>
              <w:widowControl/>
              <w:numPr>
                <w:ilvl w:val="0"/>
                <w:numId w:val="1"/>
              </w:numPr>
              <w:tabs>
                <w:tab w:val="left" w:pos="462"/>
              </w:tabs>
              <w:autoSpaceDE/>
              <w:autoSpaceDN/>
              <w:adjustRightInd/>
              <w:spacing w:line="265" w:lineRule="atLeast"/>
              <w:ind w:left="0" w:firstLine="204"/>
              <w:jc w:val="both"/>
              <w:rPr>
                <w:lang w:val="uk-UA"/>
              </w:rPr>
            </w:pPr>
            <w:r w:rsidRPr="00D04CC5">
              <w:rPr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73028D" w:rsidRPr="009709DF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Командна робота та взаємодія</w:t>
            </w:r>
          </w:p>
        </w:tc>
        <w:tc>
          <w:tcPr>
            <w:tcW w:w="5759" w:type="dxa"/>
          </w:tcPr>
          <w:p w:rsidR="0073028D" w:rsidRDefault="0073028D" w:rsidP="00A215C1">
            <w:pPr>
              <w:pStyle w:val="rvps14"/>
              <w:ind w:firstLine="61"/>
              <w:jc w:val="both"/>
            </w:pPr>
            <w:r>
              <w:t>Вміння працювати в команді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3.</w:t>
            </w:r>
          </w:p>
        </w:tc>
        <w:tc>
          <w:tcPr>
            <w:tcW w:w="3056" w:type="dxa"/>
            <w:gridSpan w:val="2"/>
          </w:tcPr>
          <w:p w:rsidR="0073028D" w:rsidRPr="00C17854" w:rsidRDefault="0073028D" w:rsidP="00A215C1">
            <w:pPr>
              <w:pStyle w:val="rvps14"/>
            </w:pPr>
            <w:r>
              <w:t>Сприйняття змін</w:t>
            </w:r>
          </w:p>
        </w:tc>
        <w:tc>
          <w:tcPr>
            <w:tcW w:w="5759" w:type="dxa"/>
            <w:vAlign w:val="center"/>
          </w:tcPr>
          <w:p w:rsidR="0073028D" w:rsidRPr="00CC671E" w:rsidRDefault="0073028D" w:rsidP="00A215C1">
            <w:pPr>
              <w:pStyle w:val="aa"/>
              <w:tabs>
                <w:tab w:val="left" w:pos="462"/>
              </w:tabs>
              <w:spacing w:line="265" w:lineRule="atLeast"/>
              <w:ind w:left="0"/>
              <w:rPr>
                <w:lang w:val="uk-UA"/>
              </w:rPr>
            </w:pPr>
            <w:r>
              <w:rPr>
                <w:lang w:val="uk-UA"/>
              </w:rPr>
              <w:t>Здатність сприймати зміни та змінюватись</w:t>
            </w:r>
          </w:p>
        </w:tc>
      </w:tr>
      <w:tr w:rsidR="0073028D" w:rsidRPr="00C75C28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4.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Технічні вміння</w:t>
            </w:r>
          </w:p>
        </w:tc>
        <w:tc>
          <w:tcPr>
            <w:tcW w:w="5759" w:type="dxa"/>
            <w:vAlign w:val="center"/>
          </w:tcPr>
          <w:p w:rsidR="0073028D" w:rsidRDefault="0073028D" w:rsidP="00A215C1">
            <w:pPr>
              <w:pStyle w:val="rvps14"/>
              <w:jc w:val="both"/>
            </w:pPr>
            <w:r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F00F3B" w:rsidRPr="00613960" w:rsidTr="00A215C1">
        <w:tc>
          <w:tcPr>
            <w:tcW w:w="569" w:type="dxa"/>
          </w:tcPr>
          <w:p w:rsidR="00F00F3B" w:rsidRDefault="00F00F3B" w:rsidP="00A215C1">
            <w:pPr>
              <w:pStyle w:val="rvps12"/>
            </w:pPr>
            <w:r>
              <w:t>5.</w:t>
            </w:r>
          </w:p>
        </w:tc>
        <w:tc>
          <w:tcPr>
            <w:tcW w:w="3056" w:type="dxa"/>
            <w:gridSpan w:val="2"/>
          </w:tcPr>
          <w:p w:rsidR="00F00F3B" w:rsidRDefault="00F00F3B" w:rsidP="00A215C1">
            <w:pPr>
              <w:pStyle w:val="rvps14"/>
            </w:pPr>
            <w:r>
              <w:t>Ділові якості</w:t>
            </w:r>
          </w:p>
        </w:tc>
        <w:tc>
          <w:tcPr>
            <w:tcW w:w="5759" w:type="dxa"/>
            <w:vAlign w:val="center"/>
          </w:tcPr>
          <w:p w:rsidR="00F00F3B" w:rsidRDefault="00613960" w:rsidP="00A215C1">
            <w:pPr>
              <w:pStyle w:val="rvps14"/>
              <w:jc w:val="both"/>
            </w:pPr>
            <w:r>
              <w:t>А</w:t>
            </w:r>
            <w:r w:rsidRPr="00DA36D8">
              <w:t xml:space="preserve">налітичні здібності, здатність ризикувати, </w:t>
            </w:r>
            <w:r w:rsidRPr="00DA36D8">
              <w:rPr>
                <w:bCs/>
              </w:rPr>
              <w:t>діалогове</w:t>
            </w:r>
            <w:r w:rsidRPr="00DA36D8">
              <w:t xml:space="preserve"> спілкування (письмове і усне), навички управління, навички контролю, лідерські якості, вміння розподіляти роботу, вміння </w:t>
            </w:r>
            <w:r>
              <w:t>активно слухати</w:t>
            </w:r>
            <w:r w:rsidRPr="00DA36D8">
              <w:t xml:space="preserve">, виваженість, здатність концентруватись на деталях, уміння дотримуватись субординації, стійкість, вміння уступати, адаптивність, вміння вести перемовини, організаторські здібності, навички наставництва, </w:t>
            </w:r>
            <w:proofErr w:type="spellStart"/>
            <w:r w:rsidRPr="00DA36D8">
              <w:t>стресостійкість</w:t>
            </w:r>
            <w:proofErr w:type="spellEnd"/>
            <w:r w:rsidRPr="00DA36D8">
              <w:t>, вимогливість, оперативність, вміння визначати пріоритети,</w:t>
            </w:r>
            <w:r>
              <w:t xml:space="preserve"> вміння аргументовано доводити власну точку зору,</w:t>
            </w:r>
            <w:r w:rsidRPr="00DA36D8">
              <w:t xml:space="preserve"> стратегічне мислення, обчислювальне мислення, навички розв’язання проблем, уміння працювати в команді</w:t>
            </w:r>
          </w:p>
        </w:tc>
      </w:tr>
      <w:tr w:rsidR="0073028D" w:rsidRPr="00F00F3B" w:rsidTr="00A215C1">
        <w:tc>
          <w:tcPr>
            <w:tcW w:w="569" w:type="dxa"/>
          </w:tcPr>
          <w:p w:rsidR="0073028D" w:rsidRDefault="00F00F3B" w:rsidP="00A215C1">
            <w:pPr>
              <w:pStyle w:val="rvps12"/>
            </w:pPr>
            <w:r>
              <w:t>6</w:t>
            </w:r>
            <w:r w:rsidR="0073028D">
              <w:t>.</w:t>
            </w:r>
          </w:p>
        </w:tc>
        <w:tc>
          <w:tcPr>
            <w:tcW w:w="3056" w:type="dxa"/>
            <w:gridSpan w:val="2"/>
          </w:tcPr>
          <w:p w:rsidR="0073028D" w:rsidRPr="00C17854" w:rsidRDefault="0073028D" w:rsidP="00A215C1">
            <w:pPr>
              <w:pStyle w:val="rvps14"/>
            </w:pPr>
            <w:r>
              <w:t>Особисті якості</w:t>
            </w:r>
          </w:p>
        </w:tc>
        <w:tc>
          <w:tcPr>
            <w:tcW w:w="5759" w:type="dxa"/>
            <w:vAlign w:val="center"/>
          </w:tcPr>
          <w:p w:rsidR="0073028D" w:rsidRPr="00C17854" w:rsidRDefault="0073028D" w:rsidP="00F00F3B">
            <w:pPr>
              <w:pStyle w:val="rvps14"/>
              <w:jc w:val="both"/>
            </w:pPr>
            <w:r>
              <w:t xml:space="preserve">Відповідальність, </w:t>
            </w:r>
            <w:proofErr w:type="spellStart"/>
            <w:r w:rsidR="00F00F3B" w:rsidRPr="00DA36D8">
              <w:t>інноваційність</w:t>
            </w:r>
            <w:proofErr w:type="spellEnd"/>
            <w:r w:rsidR="00F00F3B">
              <w:t>,</w:t>
            </w:r>
            <w:r w:rsidR="00F00F3B" w:rsidRPr="00DA36D8">
              <w:t xml:space="preserve"> креативність, ініціативність, надійність, порядність, чесність, </w:t>
            </w:r>
            <w:r w:rsidR="00F00F3B">
              <w:t xml:space="preserve">дисциплінованість, </w:t>
            </w:r>
            <w:r w:rsidR="00F00F3B" w:rsidRPr="00DA36D8">
              <w:t xml:space="preserve">чуйність, тактовність, готовність допомогти, </w:t>
            </w:r>
            <w:r w:rsidR="00F00F3B">
              <w:t xml:space="preserve">емоційна стабільність, контроль емоцій, комунікабельність, повага до інших, </w:t>
            </w:r>
            <w:r w:rsidR="00F00F3B" w:rsidRPr="00DA36D8">
              <w:t>відповідальність,</w:t>
            </w:r>
            <w:r w:rsidR="00F00F3B">
              <w:t xml:space="preserve"> рішучість,</w:t>
            </w:r>
            <w:r w:rsidR="00F00F3B" w:rsidRPr="00DA36D8">
              <w:t xml:space="preserve"> автономність, неупередженість, гнучкість</w:t>
            </w:r>
            <w:r w:rsidR="00F00F3B">
              <w:t>.</w:t>
            </w:r>
          </w:p>
        </w:tc>
      </w:tr>
      <w:tr w:rsidR="0073028D" w:rsidRPr="00F00F3B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73028D" w:rsidRPr="009709DF" w:rsidTr="00A215C1">
        <w:tc>
          <w:tcPr>
            <w:tcW w:w="9384" w:type="dxa"/>
            <w:gridSpan w:val="4"/>
          </w:tcPr>
          <w:p w:rsidR="0073028D" w:rsidRDefault="0073028D" w:rsidP="00A215C1">
            <w:pPr>
              <w:pStyle w:val="rvps14"/>
              <w:spacing w:before="0" w:beforeAutospacing="0" w:after="0" w:afterAutospacing="0"/>
              <w:jc w:val="center"/>
            </w:pPr>
            <w:r>
              <w:t>Професійні знання</w:t>
            </w:r>
          </w:p>
        </w:tc>
      </w:tr>
      <w:tr w:rsidR="0073028D" w:rsidRPr="009709DF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1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>Знання законодавства</w:t>
            </w:r>
          </w:p>
        </w:tc>
        <w:tc>
          <w:tcPr>
            <w:tcW w:w="5759" w:type="dxa"/>
          </w:tcPr>
          <w:p w:rsidR="0073028D" w:rsidRDefault="0073028D" w:rsidP="00A215C1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-81" w:firstLine="81"/>
              <w:jc w:val="both"/>
            </w:pPr>
            <w:r>
              <w:t>Конституція України;</w:t>
            </w:r>
          </w:p>
          <w:p w:rsidR="0073028D" w:rsidRDefault="0073028D" w:rsidP="00A215C1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>
              <w:rPr>
                <w:rFonts w:ascii="Calibri" w:hAnsi="Calibri"/>
              </w:rPr>
              <w:t>"</w:t>
            </w:r>
            <w:r>
              <w:t>Про державну службу</w:t>
            </w:r>
            <w:r>
              <w:rPr>
                <w:rFonts w:ascii="Calibri" w:hAnsi="Calibri"/>
              </w:rPr>
              <w:t>"</w:t>
            </w:r>
            <w:r>
              <w:t>;</w:t>
            </w:r>
          </w:p>
          <w:p w:rsidR="0073028D" w:rsidRDefault="0073028D" w:rsidP="00A215C1">
            <w:pPr>
              <w:pStyle w:val="rvps14"/>
              <w:numPr>
                <w:ilvl w:val="0"/>
                <w:numId w:val="2"/>
              </w:numPr>
              <w:tabs>
                <w:tab w:val="left" w:pos="320"/>
              </w:tabs>
              <w:spacing w:before="0" w:beforeAutospacing="0" w:after="0" w:afterAutospacing="0"/>
              <w:ind w:left="0" w:firstLine="0"/>
              <w:jc w:val="both"/>
            </w:pPr>
            <w:r>
              <w:t xml:space="preserve">Закон України </w:t>
            </w:r>
            <w:r>
              <w:rPr>
                <w:rFonts w:ascii="Calibri" w:hAnsi="Calibri"/>
              </w:rPr>
              <w:t>"</w:t>
            </w:r>
            <w:r>
              <w:t>Про запобігання корупції</w:t>
            </w:r>
            <w:r>
              <w:rPr>
                <w:rFonts w:ascii="Calibri" w:hAnsi="Calibri"/>
              </w:rPr>
              <w:t>"</w:t>
            </w:r>
          </w:p>
          <w:p w:rsidR="0073028D" w:rsidRDefault="0073028D" w:rsidP="00A215C1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73028D" w:rsidRPr="00BC20AA" w:rsidTr="00A215C1">
        <w:tc>
          <w:tcPr>
            <w:tcW w:w="569" w:type="dxa"/>
          </w:tcPr>
          <w:p w:rsidR="0073028D" w:rsidRDefault="0073028D" w:rsidP="00A215C1">
            <w:pPr>
              <w:pStyle w:val="rvps12"/>
            </w:pPr>
            <w:r>
              <w:t>2</w:t>
            </w:r>
          </w:p>
        </w:tc>
        <w:tc>
          <w:tcPr>
            <w:tcW w:w="3056" w:type="dxa"/>
            <w:gridSpan w:val="2"/>
          </w:tcPr>
          <w:p w:rsidR="0073028D" w:rsidRDefault="0073028D" w:rsidP="00A215C1">
            <w:pPr>
              <w:pStyle w:val="rvps14"/>
            </w:pPr>
            <w:r>
              <w:t xml:space="preserve">Знання спеціального законодавства, що пов’язане із завданнями та змістом роботи державного </w:t>
            </w:r>
            <w:r>
              <w:lastRenderedPageBreak/>
              <w:t>службовця відповідно до посадової інструкції (положення про структурний підрозділ)</w:t>
            </w:r>
          </w:p>
        </w:tc>
        <w:tc>
          <w:tcPr>
            <w:tcW w:w="5759" w:type="dxa"/>
          </w:tcPr>
          <w:p w:rsidR="0073028D" w:rsidRPr="00674EEE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lang w:val="uk-UA"/>
              </w:rPr>
              <w:lastRenderedPageBreak/>
              <w:t>Закон України "Про судоустрій та статус суддів";</w:t>
            </w:r>
          </w:p>
          <w:p w:rsidR="0073028D" w:rsidRPr="00674EEE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color w:val="000000"/>
                <w:lang w:val="uk-UA"/>
              </w:rPr>
              <w:t>Закон України "Про доступ до публічної інформації";</w:t>
            </w:r>
          </w:p>
          <w:p w:rsidR="0073028D" w:rsidRPr="00674EEE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color w:val="000000"/>
                <w:lang w:val="uk-UA"/>
              </w:rPr>
              <w:t>Закон України "Про очищення влади";</w:t>
            </w:r>
          </w:p>
          <w:p w:rsidR="0073028D" w:rsidRPr="00674EEE" w:rsidRDefault="0073028D" w:rsidP="00A215C1">
            <w:pPr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ind w:left="0" w:firstLine="0"/>
              <w:jc w:val="both"/>
              <w:rPr>
                <w:lang w:val="uk-UA"/>
              </w:rPr>
            </w:pPr>
            <w:r w:rsidRPr="00674EEE">
              <w:rPr>
                <w:color w:val="000000"/>
                <w:lang w:val="uk-UA"/>
              </w:rPr>
              <w:t xml:space="preserve">Інструкція з діловодства у місцевих загальних судах, </w:t>
            </w:r>
            <w:r w:rsidRPr="00674EEE">
              <w:rPr>
                <w:color w:val="000000"/>
                <w:lang w:val="uk-UA"/>
              </w:rPr>
              <w:lastRenderedPageBreak/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затвердженої наказом ДСА України № 173 від 17.12.2013 року</w:t>
            </w:r>
            <w:r>
              <w:rPr>
                <w:color w:val="000000"/>
                <w:lang w:val="uk-UA"/>
              </w:rPr>
              <w:t>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Цивільний процесуальний кодекс України;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 w:line="276" w:lineRule="auto"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Кримінальний процесуальний кодекс України;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Кодекс адміністративного судочинства України;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autoSpaceDE/>
              <w:autoSpaceDN/>
              <w:adjustRightInd/>
              <w:spacing w:after="200"/>
              <w:jc w:val="both"/>
              <w:rPr>
                <w:color w:val="000000"/>
                <w:lang w:val="uk-UA" w:eastAsia="uk-UA"/>
              </w:rPr>
            </w:pPr>
            <w:r w:rsidRPr="00674EEE">
              <w:rPr>
                <w:color w:val="000000"/>
                <w:lang w:val="uk-UA" w:eastAsia="uk-UA"/>
              </w:rPr>
              <w:t>Закон України «Про виконавче провадження»;</w:t>
            </w:r>
          </w:p>
          <w:p w:rsidR="0073028D" w:rsidRPr="00674EEE" w:rsidRDefault="0073028D" w:rsidP="0073028D">
            <w:pPr>
              <w:pStyle w:val="aa"/>
              <w:widowControl/>
              <w:numPr>
                <w:ilvl w:val="0"/>
                <w:numId w:val="3"/>
              </w:numPr>
              <w:tabs>
                <w:tab w:val="left" w:pos="203"/>
                <w:tab w:val="left" w:pos="275"/>
              </w:tabs>
              <w:autoSpaceDE/>
              <w:autoSpaceDN/>
              <w:adjustRightInd/>
              <w:spacing w:after="200" w:line="276" w:lineRule="auto"/>
              <w:jc w:val="both"/>
              <w:rPr>
                <w:lang w:val="uk-UA"/>
              </w:rPr>
            </w:pPr>
            <w:r w:rsidRPr="00674EEE">
              <w:rPr>
                <w:color w:val="000000"/>
                <w:lang w:val="uk-UA" w:eastAsia="uk-UA"/>
              </w:rPr>
              <w:t xml:space="preserve">  Закон України «Про доступ до судових рішень» </w:t>
            </w:r>
          </w:p>
        </w:tc>
      </w:tr>
    </w:tbl>
    <w:p w:rsidR="00DD075B" w:rsidRPr="0073028D" w:rsidRDefault="00DD075B">
      <w:pPr>
        <w:rPr>
          <w:lang w:val="uk-UA"/>
        </w:rPr>
      </w:pPr>
    </w:p>
    <w:sectPr w:rsidR="00DD075B" w:rsidRPr="0073028D" w:rsidSect="00403D3A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5BB"/>
    <w:multiLevelType w:val="hybridMultilevel"/>
    <w:tmpl w:val="1EFE53BC"/>
    <w:lvl w:ilvl="0" w:tplc="DF94E2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04D67"/>
    <w:multiLevelType w:val="hybridMultilevel"/>
    <w:tmpl w:val="977633A6"/>
    <w:lvl w:ilvl="0" w:tplc="B08A20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B3141"/>
    <w:multiLevelType w:val="hybridMultilevel"/>
    <w:tmpl w:val="0568B2CE"/>
    <w:lvl w:ilvl="0" w:tplc="0CA800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3028D"/>
    <w:rsid w:val="000A6C00"/>
    <w:rsid w:val="004B3044"/>
    <w:rsid w:val="005323A8"/>
    <w:rsid w:val="00613960"/>
    <w:rsid w:val="0073028D"/>
    <w:rsid w:val="0077586F"/>
    <w:rsid w:val="00B32E20"/>
    <w:rsid w:val="00BB0874"/>
    <w:rsid w:val="00DD075B"/>
    <w:rsid w:val="00F00F3B"/>
    <w:rsid w:val="00F5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23A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3A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3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3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3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3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3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3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3A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3A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23A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23A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323A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23A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23A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23A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23A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23A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323A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23A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23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23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23A8"/>
    <w:rPr>
      <w:b/>
      <w:bCs/>
    </w:rPr>
  </w:style>
  <w:style w:type="character" w:styleId="a8">
    <w:name w:val="Emphasis"/>
    <w:basedOn w:val="a0"/>
    <w:uiPriority w:val="20"/>
    <w:qFormat/>
    <w:rsid w:val="005323A8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5323A8"/>
    <w:rPr>
      <w:szCs w:val="32"/>
    </w:rPr>
  </w:style>
  <w:style w:type="paragraph" w:styleId="aa">
    <w:name w:val="List Paragraph"/>
    <w:basedOn w:val="a"/>
    <w:uiPriority w:val="34"/>
    <w:qFormat/>
    <w:rsid w:val="005323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23A8"/>
    <w:rPr>
      <w:i/>
    </w:rPr>
  </w:style>
  <w:style w:type="character" w:customStyle="1" w:styleId="22">
    <w:name w:val="Цитата 2 Знак"/>
    <w:basedOn w:val="a0"/>
    <w:link w:val="21"/>
    <w:uiPriority w:val="29"/>
    <w:rsid w:val="005323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23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23A8"/>
    <w:rPr>
      <w:b/>
      <w:i/>
      <w:sz w:val="24"/>
    </w:rPr>
  </w:style>
  <w:style w:type="character" w:styleId="ad">
    <w:name w:val="Subtle Emphasis"/>
    <w:uiPriority w:val="19"/>
    <w:qFormat/>
    <w:rsid w:val="005323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23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23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23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23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23A8"/>
    <w:pPr>
      <w:outlineLvl w:val="9"/>
    </w:pPr>
  </w:style>
  <w:style w:type="character" w:customStyle="1" w:styleId="rvts15">
    <w:name w:val="rvts15"/>
    <w:basedOn w:val="a0"/>
    <w:rsid w:val="0073028D"/>
    <w:rPr>
      <w:rFonts w:cs="Times New Roman"/>
    </w:rPr>
  </w:style>
  <w:style w:type="character" w:styleId="af3">
    <w:name w:val="Hyperlink"/>
    <w:basedOn w:val="a0"/>
    <w:uiPriority w:val="99"/>
    <w:unhideWhenUsed/>
    <w:rsid w:val="0073028D"/>
    <w:rPr>
      <w:color w:val="0000FF"/>
      <w:u w:val="single"/>
    </w:rPr>
  </w:style>
  <w:style w:type="paragraph" w:customStyle="1" w:styleId="rvps12">
    <w:name w:val="rvps12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rvts0">
    <w:name w:val="rvts0"/>
    <w:basedOn w:val="a0"/>
    <w:rsid w:val="0073028D"/>
  </w:style>
  <w:style w:type="paragraph" w:customStyle="1" w:styleId="rvps2">
    <w:name w:val="rvps2"/>
    <w:basedOn w:val="a"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styleId="af4">
    <w:name w:val="Normal (Web)"/>
    <w:basedOn w:val="a"/>
    <w:unhideWhenUsed/>
    <w:rsid w:val="0073028D"/>
    <w:pPr>
      <w:widowControl/>
      <w:autoSpaceDE/>
      <w:autoSpaceDN/>
      <w:adjustRightInd/>
      <w:spacing w:before="100" w:beforeAutospacing="1" w:after="100" w:afterAutospacing="1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box@sha.vl.court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6520</Words>
  <Characters>3717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6</cp:revision>
  <dcterms:created xsi:type="dcterms:W3CDTF">2018-05-17T12:26:00Z</dcterms:created>
  <dcterms:modified xsi:type="dcterms:W3CDTF">2018-05-18T08:57:00Z</dcterms:modified>
</cp:coreProperties>
</file>